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3E" w:rsidRDefault="000B13DB" w:rsidP="0068723E">
      <w:pPr>
        <w:pStyle w:val="Title"/>
        <w:pBdr>
          <w:bottom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584960" cy="7635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C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32" cy="76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3E">
        <w:t>Alabama Association of Colleges for Teacher Education</w:t>
      </w:r>
      <w:r w:rsidRPr="000B13DB">
        <w:t xml:space="preserve"> </w:t>
      </w:r>
    </w:p>
    <w:p w:rsidR="0068723E" w:rsidRDefault="0068723E" w:rsidP="0068723E">
      <w:pPr>
        <w:rPr>
          <w:color w:val="1F497D"/>
        </w:rPr>
      </w:pPr>
    </w:p>
    <w:p w:rsidR="0068723E" w:rsidRDefault="0068723E" w:rsidP="0068723E">
      <w:pPr>
        <w:pStyle w:val="Heading1"/>
      </w:pPr>
      <w:r>
        <w:t xml:space="preserve">2019-2020 </w:t>
      </w:r>
      <w:r w:rsidR="000B13DB">
        <w:t>Fee Structure</w:t>
      </w:r>
    </w:p>
    <w:p w:rsidR="000B13DB" w:rsidRDefault="000B13DB" w:rsidP="000B13DB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FF0000"/>
          <w:sz w:val="29"/>
          <w:szCs w:val="29"/>
        </w:rPr>
      </w:pPr>
    </w:p>
    <w:p w:rsidR="000B13DB" w:rsidRPr="00902495" w:rsidRDefault="000B13DB" w:rsidP="000B13DB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43464D"/>
          <w:sz w:val="24"/>
          <w:szCs w:val="24"/>
        </w:rPr>
      </w:pPr>
      <w:r w:rsidRPr="000B13DB">
        <w:rPr>
          <w:rFonts w:asciiTheme="majorHAnsi" w:eastAsia="Times New Roman" w:hAnsiTheme="majorHAnsi" w:cs="Arial"/>
          <w:b/>
          <w:bCs/>
          <w:color w:val="FF0000"/>
          <w:sz w:val="29"/>
          <w:szCs w:val="29"/>
        </w:rPr>
        <w:t>Annual Institutional Dues (Dues for AACTE Member Institutions</w:t>
      </w:r>
      <w:proofErr w:type="gramStart"/>
      <w:r w:rsidRPr="000B13DB">
        <w:rPr>
          <w:rFonts w:asciiTheme="majorHAnsi" w:eastAsia="Times New Roman" w:hAnsiTheme="majorHAnsi" w:cs="Arial"/>
          <w:b/>
          <w:bCs/>
          <w:color w:val="FF0000"/>
          <w:sz w:val="29"/>
          <w:szCs w:val="29"/>
        </w:rPr>
        <w:t>)</w:t>
      </w:r>
      <w:proofErr w:type="gramEnd"/>
      <w:r w:rsidRPr="00902495">
        <w:rPr>
          <w:rFonts w:asciiTheme="majorHAnsi" w:eastAsia="Times New Roman" w:hAnsiTheme="majorHAnsi" w:cs="Arial"/>
          <w:color w:val="43464D"/>
          <w:sz w:val="27"/>
          <w:szCs w:val="27"/>
        </w:rPr>
        <w:br/>
      </w:r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t>Regionally accredited colleges and universities in Alabama which are AACTE member institutions and which have state program approval are eligible for regular membership in ALACTE.</w:t>
      </w:r>
    </w:p>
    <w:p w:rsidR="000B13DB" w:rsidRPr="00902495" w:rsidRDefault="000B13DB" w:rsidP="000B13DB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43464D"/>
          <w:sz w:val="24"/>
          <w:szCs w:val="24"/>
        </w:rPr>
      </w:pPr>
    </w:p>
    <w:p w:rsidR="000B13DB" w:rsidRPr="00902495" w:rsidRDefault="000B13DB" w:rsidP="000B13DB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43464D"/>
          <w:sz w:val="24"/>
          <w:szCs w:val="24"/>
        </w:rPr>
      </w:pPr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t xml:space="preserve">Institutional dues are calculated by the "total number of graduates at all degree levels from the </w:t>
      </w:r>
      <w:proofErr w:type="gramStart"/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t>institution's</w:t>
      </w:r>
      <w:proofErr w:type="gramEnd"/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t xml:space="preserve"> approved programs in teacher of education." Payment of dues is expected by the end of November each year.</w:t>
      </w:r>
    </w:p>
    <w:p w:rsidR="000B13DB" w:rsidRPr="00902495" w:rsidRDefault="000B13DB" w:rsidP="000B13DB">
      <w:pPr>
        <w:shd w:val="clear" w:color="auto" w:fill="FFFFFF"/>
        <w:spacing w:line="360" w:lineRule="atLeast"/>
        <w:rPr>
          <w:rFonts w:asciiTheme="majorHAnsi" w:eastAsia="Times New Roman" w:hAnsiTheme="majorHAnsi" w:cs="Arial"/>
          <w:color w:val="43464D"/>
          <w:sz w:val="24"/>
          <w:szCs w:val="24"/>
        </w:rPr>
      </w:pPr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t>Dues calculation (select one of the following options)</w:t>
      </w:r>
    </w:p>
    <w:p w:rsidR="000B13DB" w:rsidRPr="00902495" w:rsidRDefault="000B13DB" w:rsidP="000B13DB">
      <w:pPr>
        <w:rPr>
          <w:rFonts w:asciiTheme="majorHAnsi" w:eastAsia="Times New Roman" w:hAnsiTheme="majorHAnsi" w:cs="Arial"/>
          <w:color w:val="43464D"/>
          <w:sz w:val="24"/>
          <w:szCs w:val="24"/>
        </w:rPr>
      </w:pPr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6pt" o:ole="">
            <v:imagedata r:id="rId5" o:title=""/>
          </v:shape>
          <w:control r:id="rId6" w:name="DefaultOcxName" w:shapeid="_x0000_i1033"/>
        </w:object>
      </w:r>
      <w:r w:rsidRPr="000B13DB">
        <w:rPr>
          <w:rFonts w:asciiTheme="majorHAnsi" w:eastAsia="Times New Roman" w:hAnsiTheme="majorHAnsi" w:cs="Arial"/>
          <w:color w:val="43464D"/>
          <w:sz w:val="24"/>
          <w:szCs w:val="24"/>
        </w:rPr>
        <w:t>150 or less graduates = $100.00</w:t>
      </w:r>
    </w:p>
    <w:p w:rsidR="000B13DB" w:rsidRPr="00902495" w:rsidRDefault="000B13DB" w:rsidP="000B13DB">
      <w:pPr>
        <w:shd w:val="clear" w:color="auto" w:fill="FFFFFF"/>
        <w:rPr>
          <w:rFonts w:asciiTheme="majorHAnsi" w:eastAsia="Times New Roman" w:hAnsiTheme="majorHAnsi" w:cs="Arial"/>
          <w:color w:val="43464D"/>
          <w:sz w:val="24"/>
          <w:szCs w:val="24"/>
        </w:rPr>
      </w:pPr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object w:dxaOrig="1440" w:dyaOrig="1440">
          <v:shape id="_x0000_i1032" type="#_x0000_t75" style="width:18pt;height:15.6pt" o:ole="">
            <v:imagedata r:id="rId5" o:title=""/>
          </v:shape>
          <w:control r:id="rId7" w:name="DefaultOcxName1" w:shapeid="_x0000_i1032"/>
        </w:object>
      </w:r>
      <w:r w:rsidRPr="000B13DB">
        <w:rPr>
          <w:rFonts w:asciiTheme="majorHAnsi" w:eastAsia="Times New Roman" w:hAnsiTheme="majorHAnsi" w:cs="Arial"/>
          <w:color w:val="43464D"/>
          <w:sz w:val="24"/>
          <w:szCs w:val="24"/>
        </w:rPr>
        <w:t>151-450 graduates = $150.00</w:t>
      </w:r>
      <w:bookmarkStart w:id="0" w:name="_GoBack"/>
      <w:bookmarkEnd w:id="0"/>
    </w:p>
    <w:p w:rsidR="000B13DB" w:rsidRPr="000B13DB" w:rsidRDefault="000B13DB" w:rsidP="000B13DB">
      <w:pPr>
        <w:rPr>
          <w:rFonts w:asciiTheme="majorHAnsi" w:eastAsia="Times New Roman" w:hAnsiTheme="majorHAnsi" w:cs="Arial"/>
          <w:color w:val="43464D"/>
          <w:sz w:val="24"/>
          <w:szCs w:val="24"/>
        </w:rPr>
      </w:pPr>
      <w:r w:rsidRPr="00902495">
        <w:rPr>
          <w:rFonts w:asciiTheme="majorHAnsi" w:eastAsia="Times New Roman" w:hAnsiTheme="majorHAnsi" w:cs="Arial"/>
          <w:color w:val="43464D"/>
          <w:sz w:val="24"/>
          <w:szCs w:val="24"/>
        </w:rPr>
        <w:object w:dxaOrig="1440" w:dyaOrig="1440">
          <v:shape id="_x0000_i1031" type="#_x0000_t75" style="width:18pt;height:15.6pt" o:ole="">
            <v:imagedata r:id="rId5" o:title=""/>
          </v:shape>
          <w:control r:id="rId8" w:name="DefaultOcxName2" w:shapeid="_x0000_i1031"/>
        </w:object>
      </w:r>
      <w:r w:rsidRPr="000B13DB">
        <w:rPr>
          <w:rFonts w:asciiTheme="majorHAnsi" w:eastAsia="Times New Roman" w:hAnsiTheme="majorHAnsi" w:cs="Arial"/>
          <w:color w:val="43464D"/>
          <w:sz w:val="24"/>
          <w:szCs w:val="24"/>
        </w:rPr>
        <w:t>451 graduates or over = $200.00</w:t>
      </w:r>
    </w:p>
    <w:p w:rsidR="000B13DB" w:rsidRPr="000B13DB" w:rsidRDefault="000B13DB" w:rsidP="000B13DB">
      <w:pPr>
        <w:rPr>
          <w:rFonts w:asciiTheme="majorHAnsi" w:eastAsia="Times New Roman" w:hAnsiTheme="majorHAnsi" w:cs="Arial"/>
          <w:color w:val="43464D"/>
          <w:sz w:val="24"/>
          <w:szCs w:val="24"/>
        </w:rPr>
      </w:pPr>
    </w:p>
    <w:p w:rsidR="000B13DB" w:rsidRPr="00902495" w:rsidRDefault="000B13DB" w:rsidP="000B13DB">
      <w:pPr>
        <w:rPr>
          <w:rFonts w:asciiTheme="majorHAnsi" w:eastAsia="Times New Roman" w:hAnsiTheme="majorHAnsi" w:cs="Arial"/>
          <w:color w:val="43464D"/>
          <w:sz w:val="24"/>
          <w:szCs w:val="24"/>
        </w:rPr>
      </w:pPr>
    </w:p>
    <w:p w:rsidR="000B13DB" w:rsidRPr="000B13DB" w:rsidRDefault="000B13DB" w:rsidP="000B13DB">
      <w:pPr>
        <w:rPr>
          <w:rFonts w:asciiTheme="majorHAnsi" w:eastAsia="Times New Roman" w:hAnsiTheme="majorHAnsi" w:cs="Arial"/>
          <w:b/>
          <w:bCs/>
          <w:color w:val="FF0000"/>
          <w:sz w:val="29"/>
          <w:szCs w:val="29"/>
        </w:rPr>
      </w:pPr>
      <w:r w:rsidRPr="000B13DB">
        <w:rPr>
          <w:rFonts w:asciiTheme="majorHAnsi" w:eastAsia="Times New Roman" w:hAnsiTheme="majorHAnsi" w:cs="Arial"/>
          <w:b/>
          <w:bCs/>
          <w:color w:val="FF0000"/>
          <w:sz w:val="29"/>
          <w:szCs w:val="29"/>
        </w:rPr>
        <w:t>Meeting Registration Fees</w:t>
      </w:r>
    </w:p>
    <w:p w:rsidR="000B13DB" w:rsidRPr="000B13DB" w:rsidRDefault="000B13DB" w:rsidP="000B13DB">
      <w:pPr>
        <w:rPr>
          <w:rFonts w:asciiTheme="majorHAnsi" w:hAnsiTheme="majorHAnsi"/>
          <w:sz w:val="24"/>
          <w:szCs w:val="24"/>
        </w:rPr>
      </w:pPr>
      <w:r w:rsidRPr="000B13DB">
        <w:rPr>
          <w:rFonts w:asciiTheme="majorHAnsi" w:hAnsiTheme="majorHAnsi" w:cs="Arial"/>
          <w:color w:val="43464D"/>
          <w:sz w:val="24"/>
          <w:szCs w:val="24"/>
          <w:shd w:val="clear" w:color="auto" w:fill="FFFFFF"/>
        </w:rPr>
        <w:t>The cost of attendance for each individual attending the ALACTE meeting is $40.00. Please indicate below the total amount of fees submitted by payment method (i.e., multiple the number of individuals attending by $40.00). </w:t>
      </w:r>
    </w:p>
    <w:sectPr w:rsidR="000B13DB" w:rsidRPr="000B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3E"/>
    <w:rsid w:val="000B13DB"/>
    <w:rsid w:val="002C3A50"/>
    <w:rsid w:val="00491D58"/>
    <w:rsid w:val="0068723E"/>
    <w:rsid w:val="00803103"/>
    <w:rsid w:val="00974A7A"/>
    <w:rsid w:val="009B48BA"/>
    <w:rsid w:val="00C760EE"/>
    <w:rsid w:val="00C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7719F-B1C5-4854-BEF0-EA9CA4E5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3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3E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72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7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Courtney C</dc:creator>
  <cp:keywords/>
  <dc:description/>
  <cp:lastModifiedBy>Bentley, Courtney C</cp:lastModifiedBy>
  <cp:revision>2</cp:revision>
  <dcterms:created xsi:type="dcterms:W3CDTF">2019-10-25T19:27:00Z</dcterms:created>
  <dcterms:modified xsi:type="dcterms:W3CDTF">2019-10-25T19:27:00Z</dcterms:modified>
</cp:coreProperties>
</file>